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022" w:rsidRPr="00D15022" w:rsidRDefault="00420E7A" w:rsidP="00D1502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bookmarkStart w:id="0" w:name="_GoBack"/>
      <w:bookmarkEnd w:id="0"/>
      <w:r w:rsidR="00D15022" w:rsidRPr="00D15022">
        <w:rPr>
          <w:rFonts w:ascii="Times New Roman" w:hAnsi="Times New Roman" w:cs="Times New Roman"/>
          <w:sz w:val="28"/>
          <w:szCs w:val="28"/>
        </w:rPr>
        <w:t>-тақырып</w:t>
      </w:r>
    </w:p>
    <w:p w:rsidR="00391176" w:rsidRDefault="00D15022" w:rsidP="00D15022">
      <w:pPr>
        <w:spacing w:after="0" w:line="240" w:lineRule="auto"/>
        <w:jc w:val="center"/>
        <w:rPr>
          <w:rFonts w:ascii="Times New Roman" w:hAnsi="Times New Roman" w:cs="Times New Roman"/>
          <w:sz w:val="28"/>
          <w:szCs w:val="28"/>
        </w:rPr>
      </w:pPr>
      <w:r w:rsidRPr="00D15022">
        <w:rPr>
          <w:rFonts w:ascii="Times New Roman" w:hAnsi="Times New Roman" w:cs="Times New Roman"/>
          <w:sz w:val="28"/>
          <w:szCs w:val="28"/>
        </w:rPr>
        <w:t>Құнды бағалаудың әдістемелік тәсілдері. Табыс тәсілі</w:t>
      </w:r>
    </w:p>
    <w:p w:rsidR="006A5A4C" w:rsidRDefault="006A5A4C" w:rsidP="00D15022">
      <w:pPr>
        <w:spacing w:after="0" w:line="240" w:lineRule="auto"/>
        <w:jc w:val="center"/>
        <w:rPr>
          <w:rFonts w:ascii="Times New Roman" w:hAnsi="Times New Roman" w:cs="Times New Roman"/>
          <w:sz w:val="28"/>
          <w:szCs w:val="28"/>
          <w:lang w:val="kk-KZ"/>
        </w:rPr>
      </w:pP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Нарықтық немесе өзге құнды белгілеу табысты, шығынды және салыстырмалы тәсілдерге топтастырылған бағалау әдістерін қолдану арқылы жүргізіледі.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6A5A4C">
        <w:rPr>
          <w:rFonts w:ascii="Times New Roman" w:hAnsi="Times New Roman" w:cs="Times New Roman"/>
          <w:b/>
          <w:i/>
          <w:color w:val="FF0000"/>
          <w:sz w:val="28"/>
          <w:szCs w:val="28"/>
          <w:u w:val="single"/>
          <w:lang w:val="kk-KZ"/>
        </w:rPr>
        <w:t>Табыс тәсілі</w:t>
      </w:r>
      <w:r w:rsidRPr="00D15022">
        <w:rPr>
          <w:rFonts w:ascii="Times New Roman" w:hAnsi="Times New Roman" w:cs="Times New Roman"/>
          <w:sz w:val="28"/>
          <w:szCs w:val="28"/>
          <w:lang w:val="kk-KZ"/>
        </w:rPr>
        <w:t>-болашақта оны пайдаланудан күтілетін кірістерді анықтауға негізделген бағалау объектісінің құнын анықтау әдістерінің жиынтығы.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6A5A4C">
        <w:rPr>
          <w:rFonts w:ascii="Times New Roman" w:hAnsi="Times New Roman" w:cs="Times New Roman"/>
          <w:b/>
          <w:i/>
          <w:color w:val="FF0000"/>
          <w:sz w:val="28"/>
          <w:szCs w:val="28"/>
          <w:u w:val="single"/>
          <w:lang w:val="kk-KZ"/>
        </w:rPr>
        <w:t>Шығындық тәсіл</w:t>
      </w:r>
      <w:r w:rsidRPr="00D15022">
        <w:rPr>
          <w:rFonts w:ascii="Times New Roman" w:hAnsi="Times New Roman" w:cs="Times New Roman"/>
          <w:sz w:val="28"/>
          <w:szCs w:val="28"/>
          <w:lang w:val="kk-KZ"/>
        </w:rPr>
        <w:t>-бағаланатын объектінің тозуын ескере отырып, оны көбейту немесе ауыстыру үшін қажетті шығындарды анықтауға негізделген бағалау объектісінің құнын анықтау әдістерінің жиынтығы.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6A5A4C">
        <w:rPr>
          <w:rFonts w:ascii="Times New Roman" w:hAnsi="Times New Roman" w:cs="Times New Roman"/>
          <w:b/>
          <w:i/>
          <w:color w:val="FF0000"/>
          <w:sz w:val="28"/>
          <w:szCs w:val="28"/>
          <w:u w:val="single"/>
          <w:lang w:val="kk-KZ"/>
        </w:rPr>
        <w:t>Салыстырмалы тәсіл</w:t>
      </w:r>
      <w:r w:rsidRPr="006A5A4C">
        <w:rPr>
          <w:rFonts w:ascii="Times New Roman" w:hAnsi="Times New Roman" w:cs="Times New Roman"/>
          <w:color w:val="FF0000"/>
          <w:sz w:val="28"/>
          <w:szCs w:val="28"/>
          <w:lang w:val="kk-KZ"/>
        </w:rPr>
        <w:t xml:space="preserve"> </w:t>
      </w:r>
      <w:r w:rsidRPr="00D15022">
        <w:rPr>
          <w:rFonts w:ascii="Times New Roman" w:hAnsi="Times New Roman" w:cs="Times New Roman"/>
          <w:sz w:val="28"/>
          <w:szCs w:val="28"/>
          <w:lang w:val="kk-KZ"/>
        </w:rPr>
        <w:t>– бұл ұқсас объектілердің сатылуын талдауға және олардың арасындағы айырмашылықтарды ескере отырып, тиісті түзетулер енгізу үшін объектімен салыстыруға негізделген бағалау объектісінің құнын анықтау әдістерінің жиынтығы.</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Зияткерлік меншік объектілері мен материалдық емес активтердің бағалау құнын анықтау айтарлықтай ерекше болып табылады.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Мүліктік кешен ретінде кәсіпорынның бағалау құнын анықтау кезінде, әдетте, жоғарыда аталған тәсілдер мен әдістердің тұтас кешені қолданылады.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Бағалау әдістерін таңдау және қолдану кезінде бағалаушы мынадай негізгі талаптарды сақтауға тиіс:</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 бағалау мақсатын және анықталатын құн түрін анықтау;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-объектіге бағалау жүргізу кезінде пайдаланылатын ақпараттың дұрыстығын қамтамасыз ету;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құқықтық талдау жүргізу, мүліктік құқықтар мен ауыртпалықтарды сәйкестендіру;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 бағалау әдістерін таңдауды негіздеу;</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бағалау туралы есепте анық деректердің, есептік көрсеткіштердің және негізделген нәтижелердің оларды екіұштылықпен түсіндіруге жол бермейтін толық және қолжетімді баяндалуын қамтамасыз ету.</w:t>
      </w:r>
    </w:p>
    <w:p w:rsidR="00D15022" w:rsidRDefault="006A5A4C"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Қолайлы</w:t>
      </w:r>
      <w:r w:rsidR="00D15022" w:rsidRPr="00D15022">
        <w:rPr>
          <w:rFonts w:ascii="Times New Roman" w:hAnsi="Times New Roman" w:cs="Times New Roman"/>
          <w:sz w:val="28"/>
          <w:szCs w:val="28"/>
          <w:lang w:val="kk-KZ"/>
        </w:rPr>
        <w:t xml:space="preserve"> жағдайда бағалаушы бағалау құнын әртүрлі тәсілдермен анықтау үшін барлық тәсілдерді және бағалау әдістерінің максималды санын қолдануы керек. Осыдан кейін қолданылатын тәсілдер мен әдістерді осы бағалау үшін маңыздылық негіздемесі жасалады, олардың сенімділік коэффициенттері 1-ге тең және жеке тәсілдер мен әдістердің сенімділік коэффициенттері бойынша өлшенген бағалау құнының орташа мәні алынады.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Табыс тәсілінің бөлігі ретінде келесі әдістер бөлінеді: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1) тікелей капиталдандыру әдісі (капиталдандырылған табыс әдісі) - кірістің тұрақты шамасы, бастапқы инвестициялар болмаған, капиталды қайтару мен капиталға кірісті бір мезгілде есепке алған кезде бағалау объектісін тұрақты пайдалануды сақтау шарттарына сүйене отырып құнды айқындау;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lastRenderedPageBreak/>
        <w:t>2) ақша ағындарын дисконттау әдісі (дисконтталған қолма – қол ақша ағыны әдісі) - объектіні пайдалануға байланысты тәуекел дәрежесіне қарай ақша ағындарының өзгеру және біркелкі түспеу шарттарына сүйене отырып құнды айқындау;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3) қолданыстағы заңнамада көзделген өзге де әдістер.</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Табыс тәсілінің артықшылықтары мен кемшіліктері, сондай-ақ қолданылу аясы мынадай (сурет</w:t>
      </w:r>
      <w:r>
        <w:rPr>
          <w:rFonts w:ascii="Times New Roman" w:hAnsi="Times New Roman" w:cs="Times New Roman"/>
          <w:sz w:val="28"/>
          <w:szCs w:val="28"/>
          <w:lang w:val="kk-KZ"/>
        </w:rPr>
        <w:t xml:space="preserve"> 1</w:t>
      </w:r>
      <w:r w:rsidRPr="00D15022">
        <w:rPr>
          <w:rFonts w:ascii="Times New Roman" w:hAnsi="Times New Roman" w:cs="Times New Roman"/>
          <w:sz w:val="28"/>
          <w:szCs w:val="28"/>
          <w:lang w:val="kk-KZ"/>
        </w:rPr>
        <w:t xml:space="preserve"> )</w:t>
      </w:r>
    </w:p>
    <w:p w:rsidR="00D15022" w:rsidRDefault="00D15022" w:rsidP="00D15022">
      <w:pPr>
        <w:spacing w:line="360" w:lineRule="auto"/>
        <w:ind w:firstLine="561"/>
        <w:jc w:val="both"/>
        <w:rPr>
          <w:lang w:val="kk-KZ"/>
        </w:rPr>
      </w:pPr>
    </w:p>
    <w:p w:rsidR="00D15022" w:rsidRPr="006A5A4C" w:rsidRDefault="00D15022" w:rsidP="00D15022">
      <w:pPr>
        <w:spacing w:line="360" w:lineRule="auto"/>
        <w:ind w:firstLine="561"/>
        <w:jc w:val="both"/>
        <w:rPr>
          <w:lang w:val="kk-KZ"/>
        </w:rPr>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573405</wp:posOffset>
                </wp:positionH>
                <wp:positionV relativeFrom="paragraph">
                  <wp:posOffset>114935</wp:posOffset>
                </wp:positionV>
                <wp:extent cx="4891405" cy="3543300"/>
                <wp:effectExtent l="0" t="0" r="23495" b="1905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3543300"/>
                          <a:chOff x="2600" y="2142"/>
                          <a:chExt cx="7703" cy="6012"/>
                        </a:xfrm>
                      </wpg:grpSpPr>
                      <wps:wsp>
                        <wps:cNvPr id="2" name="Rectangle 3"/>
                        <wps:cNvSpPr>
                          <a:spLocks noChangeArrowheads="1"/>
                        </wps:cNvSpPr>
                        <wps:spPr bwMode="auto">
                          <a:xfrm>
                            <a:off x="2600" y="2142"/>
                            <a:ext cx="1957" cy="59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jc w:val="center"/>
                                <w:rPr>
                                  <w:rFonts w:ascii="Times New Roman" w:hAnsi="Times New Roman" w:cs="Times New Roman"/>
                                </w:rPr>
                              </w:pPr>
                              <w:r w:rsidRPr="006A5A4C">
                                <w:rPr>
                                  <w:rFonts w:ascii="Times New Roman" w:hAnsi="Times New Roman" w:cs="Times New Roman"/>
                                  <w:lang w:val="kk-KZ"/>
                                </w:rPr>
                                <w:t>артықшылығы</w:t>
                              </w:r>
                            </w:p>
                          </w:txbxContent>
                        </wps:txbx>
                        <wps:bodyPr rot="0" vert="horz" wrap="square" lIns="91440" tIns="45720" rIns="91440" bIns="45720" anchor="t" anchorCtr="0" upright="1">
                          <a:noAutofit/>
                        </wps:bodyPr>
                      </wps:wsp>
                      <wps:wsp>
                        <wps:cNvPr id="3" name="Rectangle 4"/>
                        <wps:cNvSpPr>
                          <a:spLocks noChangeArrowheads="1"/>
                        </wps:cNvSpPr>
                        <wps:spPr bwMode="auto">
                          <a:xfrm>
                            <a:off x="5625" y="2142"/>
                            <a:ext cx="2067" cy="59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wps:txbx>
                        <wps:bodyPr rot="0" vert="horz" wrap="square" lIns="91440" tIns="45720" rIns="91440" bIns="45720" anchor="t" anchorCtr="0" upright="1">
                          <a:noAutofit/>
                        </wps:bodyPr>
                      </wps:wsp>
                      <wps:wsp>
                        <wps:cNvPr id="4" name="Rectangle 5"/>
                        <wps:cNvSpPr>
                          <a:spLocks noChangeArrowheads="1"/>
                        </wps:cNvSpPr>
                        <wps:spPr bwMode="auto">
                          <a:xfrm>
                            <a:off x="8574" y="2142"/>
                            <a:ext cx="1729" cy="59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636" y="3365"/>
                            <a:ext cx="2455" cy="478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б</w:t>
                              </w:r>
                              <w:r w:rsidRPr="006A5A4C">
                                <w:rPr>
                                  <w:rFonts w:ascii="Times New Roman" w:hAnsi="Times New Roman" w:cs="Times New Roman"/>
                                </w:rPr>
                                <w:t>ұл шығындар, бағалар, Инвестициялар және басқа нарықтық тенденцияларға қатысты Болашақ күтулерді ескеретін жалғыз тәсіл</w:t>
                              </w:r>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r w:rsidRPr="006A5A4C">
                                <w:rPr>
                                  <w:rFonts w:ascii="Times New Roman" w:hAnsi="Times New Roman" w:cs="Times New Roman"/>
                                  <w:sz w:val="20"/>
                                  <w:szCs w:val="20"/>
                                </w:rPr>
                                <w:t>ұл нарықтық аспектіні қамтиды, өйткені талап етілетін дисконттау мөлшерлемесін нарық анықтайды</w:t>
                              </w:r>
                            </w:p>
                          </w:txbxContent>
                        </wps:txbx>
                        <wps:bodyPr rot="0" vert="horz" wrap="square" lIns="91440" tIns="45720" rIns="91440" bIns="45720" anchor="t" anchorCtr="0" upright="1">
                          <a:noAutofit/>
                        </wps:bodyPr>
                      </wps:wsp>
                      <wps:wsp>
                        <wps:cNvPr id="6" name="Rectangle 7"/>
                        <wps:cNvSpPr>
                          <a:spLocks noChangeArrowheads="1"/>
                        </wps:cNvSpPr>
                        <wps:spPr bwMode="auto">
                          <a:xfrm>
                            <a:off x="5553" y="3365"/>
                            <a:ext cx="2244" cy="478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rPr>
                                  <w:rFonts w:ascii="Times New Roman" w:hAnsi="Times New Roman" w:cs="Times New Roman"/>
                                  <w:sz w:val="20"/>
                                  <w:szCs w:val="20"/>
                                </w:rPr>
                              </w:pPr>
                              <w:r w:rsidRPr="00F51309">
                                <w:rPr>
                                  <w:sz w:val="20"/>
                                  <w:szCs w:val="20"/>
                                </w:rPr>
                                <w:t xml:space="preserve">- </w:t>
                              </w:r>
                              <w:r w:rsidRPr="006A5A4C">
                                <w:rPr>
                                  <w:rFonts w:ascii="Times New Roman" w:hAnsi="Times New Roman" w:cs="Times New Roman"/>
                                  <w:sz w:val="20"/>
                                  <w:szCs w:val="20"/>
                                  <w:lang w:val="kk-KZ"/>
                                </w:rPr>
                                <w:t>б</w:t>
                              </w:r>
                              <w:r w:rsidRPr="006A5A4C">
                                <w:rPr>
                                  <w:rFonts w:ascii="Times New Roman" w:hAnsi="Times New Roman" w:cs="Times New Roman"/>
                                  <w:sz w:val="20"/>
                                  <w:szCs w:val="20"/>
                                </w:rPr>
                                <w:t>олжам жасау кезіндегі қиындықтар</w:t>
                              </w:r>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r w:rsidRPr="006A5A4C">
                                <w:rPr>
                                  <w:rFonts w:ascii="Times New Roman" w:hAnsi="Times New Roman" w:cs="Times New Roman"/>
                                  <w:sz w:val="20"/>
                                  <w:szCs w:val="20"/>
                                </w:rPr>
                                <w:t>ағалау объектісі туралы ішкі ақпаратты алу кезіндегі қиындықтар</w:t>
                              </w:r>
                            </w:p>
                            <w:p w:rsidR="00D15022" w:rsidRPr="006A5A4C" w:rsidRDefault="00D15022" w:rsidP="00D15022">
                              <w:pPr>
                                <w:rPr>
                                  <w:rFonts w:ascii="Times New Roman" w:hAnsi="Times New Roman" w:cs="Times New Roman"/>
                                  <w:sz w:val="20"/>
                                  <w:szCs w:val="20"/>
                                  <w:lang w:val="kk-KZ"/>
                                </w:rPr>
                              </w:pPr>
                              <w:r w:rsidRPr="006A5A4C">
                                <w:rPr>
                                  <w:rFonts w:ascii="Times New Roman" w:hAnsi="Times New Roman" w:cs="Times New Roman"/>
                                  <w:sz w:val="20"/>
                                  <w:szCs w:val="20"/>
                                </w:rPr>
                                <w:t>- Әдістің алыпсатарлығы</w:t>
                              </w:r>
                            </w:p>
                            <w:p w:rsidR="00D15022" w:rsidRPr="006A5A4C" w:rsidRDefault="00D15022" w:rsidP="00D15022">
                              <w:pPr>
                                <w:rPr>
                                  <w:rFonts w:ascii="Times New Roman" w:hAnsi="Times New Roman" w:cs="Times New Roman"/>
                                  <w:lang w:val="kk-KZ"/>
                                </w:rPr>
                              </w:pPr>
                              <w:r w:rsidRPr="006A5A4C">
                                <w:rPr>
                                  <w:rFonts w:ascii="Times New Roman" w:hAnsi="Times New Roman" w:cs="Times New Roman"/>
                                  <w:lang w:val="kk-KZ"/>
                                </w:rPr>
                                <w:t xml:space="preserve">- </w:t>
                              </w:r>
                              <w:r w:rsidRPr="006A5A4C">
                                <w:rPr>
                                  <w:rFonts w:ascii="Times New Roman" w:hAnsi="Times New Roman" w:cs="Times New Roman"/>
                                  <w:sz w:val="20"/>
                                  <w:szCs w:val="20"/>
                                  <w:lang w:val="kk-KZ"/>
                                </w:rPr>
                                <w:t>залалды объектілерді бағалау үшін қолдануға болмайды</w:t>
                              </w:r>
                            </w:p>
                          </w:txbxContent>
                        </wps:txbx>
                        <wps:bodyPr rot="0" vert="horz" wrap="square" lIns="91440" tIns="45720" rIns="91440" bIns="45720" anchor="t" anchorCtr="0" upright="1">
                          <a:noAutofit/>
                        </wps:bodyPr>
                      </wps:wsp>
                      <wps:wsp>
                        <wps:cNvPr id="7" name="Rectangle 8"/>
                        <wps:cNvSpPr>
                          <a:spLocks noChangeArrowheads="1"/>
                        </wps:cNvSpPr>
                        <wps:spPr bwMode="auto">
                          <a:xfrm>
                            <a:off x="8433" y="3365"/>
                            <a:ext cx="1819" cy="2930"/>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т</w:t>
                              </w:r>
                              <w:r w:rsidRPr="006A5A4C">
                                <w:rPr>
                                  <w:rFonts w:ascii="Times New Roman" w:hAnsi="Times New Roman" w:cs="Times New Roman"/>
                                </w:rPr>
                                <w:t>абыс әкелетін кез келген объектілерді бағалау үшін қолданылуы мүмкін</w:t>
                              </w:r>
                            </w:p>
                          </w:txbxContent>
                        </wps:txbx>
                        <wps:bodyPr rot="0" vert="horz" wrap="square" lIns="91440" tIns="45720" rIns="91440" bIns="45720" anchor="t" anchorCtr="0" upright="1">
                          <a:noAutofit/>
                        </wps:bodyPr>
                      </wps:wsp>
                      <wpg:grpSp>
                        <wpg:cNvPr id="8" name="Group 9"/>
                        <wpg:cNvGrpSpPr>
                          <a:grpSpLocks/>
                        </wpg:cNvGrpSpPr>
                        <wpg:grpSpPr bwMode="auto">
                          <a:xfrm>
                            <a:off x="4985" y="2342"/>
                            <a:ext cx="178" cy="200"/>
                            <a:chOff x="4540" y="10905"/>
                            <a:chExt cx="187" cy="180"/>
                          </a:xfrm>
                        </wpg:grpSpPr>
                        <wps:wsp>
                          <wps:cNvPr id="9" name="Line 10"/>
                          <wps:cNvCnPr/>
                          <wps:spPr bwMode="auto">
                            <a:xfrm>
                              <a:off x="4540" y="11009"/>
                              <a:ext cx="1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
                          <wps:cNvCnPr/>
                          <wps:spPr bwMode="auto">
                            <a:xfrm>
                              <a:off x="4621" y="10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 name="Line 12"/>
                        <wps:cNvCnPr/>
                        <wps:spPr bwMode="auto">
                          <a:xfrm>
                            <a:off x="7706" y="2447"/>
                            <a:ext cx="89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3"/>
                        <wps:cNvCnPr/>
                        <wps:spPr bwMode="auto">
                          <a:xfrm>
                            <a:off x="3571"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4"/>
                        <wps:cNvCnPr/>
                        <wps:spPr bwMode="auto">
                          <a:xfrm>
                            <a:off x="6638"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5"/>
                        <wps:cNvCnPr/>
                        <wps:spPr bwMode="auto">
                          <a:xfrm>
                            <a:off x="9470"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45.15pt;margin-top:9.05pt;width:385.15pt;height:279pt;z-index:251659264" coordorigin="2600,2142" coordsize="7703,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">
                <v:rect id="Rectangle 3" o:spid="_x0000_s1027" style="position:absolute;left:2600;top:2142;width:195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D15022" w:rsidRPr="006A5A4C" w:rsidRDefault="00D15022" w:rsidP="00D15022">
                        <w:pPr>
                          <w:jc w:val="center"/>
                          <w:rPr>
                            <w:rFonts w:ascii="Times New Roman" w:hAnsi="Times New Roman" w:cs="Times New Roman"/>
                          </w:rPr>
                        </w:pPr>
                        <w:r w:rsidRPr="006A5A4C">
                          <w:rPr>
                            <w:rFonts w:ascii="Times New Roman" w:hAnsi="Times New Roman" w:cs="Times New Roman"/>
                            <w:lang w:val="kk-KZ"/>
                          </w:rPr>
                          <w:t>артықшылығы</w:t>
                        </w:r>
                      </w:p>
                    </w:txbxContent>
                  </v:textbox>
                </v:rect>
                <v:rect id="Rectangle 4" o:spid="_x0000_s1028" style="position:absolute;left:5625;top:2142;width:206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v:textbox>
                </v:rect>
                <v:rect id="Rectangle 5" o:spid="_x0000_s1029" style="position:absolute;left:8574;top:2142;width:1729;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v:textbox>
                </v:rect>
                <v:rect id="Rectangle 6" o:spid="_x0000_s1030" style="position:absolute;left:2636;top:3365;width:2455;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б</w:t>
                        </w:r>
                        <w:proofErr w:type="spellStart"/>
                        <w:r w:rsidRPr="006A5A4C">
                          <w:rPr>
                            <w:rFonts w:ascii="Times New Roman" w:hAnsi="Times New Roman" w:cs="Times New Roman"/>
                          </w:rPr>
                          <w:t>ұл</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шығындар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бағалар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Инвестициялар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және</w:t>
                        </w:r>
                        <w:proofErr w:type="spellEnd"/>
                        <w:r w:rsidRPr="006A5A4C">
                          <w:rPr>
                            <w:rFonts w:ascii="Times New Roman" w:hAnsi="Times New Roman" w:cs="Times New Roman"/>
                          </w:rPr>
                          <w:t xml:space="preserve"> </w:t>
                        </w:r>
                        <w:proofErr w:type="spellStart"/>
                        <w:proofErr w:type="gramStart"/>
                        <w:r w:rsidRPr="006A5A4C">
                          <w:rPr>
                            <w:rFonts w:ascii="Times New Roman" w:hAnsi="Times New Roman" w:cs="Times New Roman"/>
                          </w:rPr>
                          <w:t>бас</w:t>
                        </w:r>
                        <w:proofErr w:type="gramEnd"/>
                        <w:r w:rsidRPr="006A5A4C">
                          <w:rPr>
                            <w:rFonts w:ascii="Times New Roman" w:hAnsi="Times New Roman" w:cs="Times New Roman"/>
                          </w:rPr>
                          <w:t>қа</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нарықтық</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тенденцияларға</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қатысты</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Болашақ</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күтулерді</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ескеретін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жалғыз</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тәсіл</w:t>
                        </w:r>
                        <w:proofErr w:type="spellEnd"/>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ұ</w:t>
                        </w:r>
                        <w:proofErr w:type="gramStart"/>
                        <w:r w:rsidRPr="006A5A4C">
                          <w:rPr>
                            <w:rFonts w:ascii="Times New Roman" w:hAnsi="Times New Roman" w:cs="Times New Roman"/>
                            <w:sz w:val="20"/>
                            <w:szCs w:val="20"/>
                          </w:rPr>
                          <w:t>л</w:t>
                        </w:r>
                        <w:proofErr w:type="spellEnd"/>
                        <w:proofErr w:type="gram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нарықтық</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аспектіні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қамтиды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өйткені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талап</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етілетін</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дисконттау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мөлшерлемесін</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нарық</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анықтайды</w:t>
                        </w:r>
                        <w:proofErr w:type="spellEnd"/>
                      </w:p>
                    </w:txbxContent>
                  </v:textbox>
                </v:rect>
                <v:rect id="Rectangle 7" o:spid="_x0000_s1031" style="position:absolute;left:5553;top:3365;width:2244;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D15022" w:rsidRPr="006A5A4C" w:rsidRDefault="00D15022" w:rsidP="00D15022">
                        <w:pPr>
                          <w:rPr>
                            <w:rFonts w:ascii="Times New Roman" w:hAnsi="Times New Roman" w:cs="Times New Roman"/>
                            <w:sz w:val="20"/>
                            <w:szCs w:val="20"/>
                          </w:rPr>
                        </w:pPr>
                        <w:r w:rsidRPr="00F51309">
                          <w:rPr>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олжам</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жасау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кезіндегі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қиындықтар</w:t>
                        </w:r>
                        <w:proofErr w:type="spellEnd"/>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ағалау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объектісі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туралы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і</w:t>
                        </w:r>
                        <w:proofErr w:type="gramStart"/>
                        <w:r w:rsidRPr="006A5A4C">
                          <w:rPr>
                            <w:rFonts w:ascii="Times New Roman" w:hAnsi="Times New Roman" w:cs="Times New Roman"/>
                            <w:sz w:val="20"/>
                            <w:szCs w:val="20"/>
                          </w:rPr>
                          <w:t>шк</w:t>
                        </w:r>
                        <w:proofErr w:type="gramEnd"/>
                        <w:r w:rsidRPr="006A5A4C">
                          <w:rPr>
                            <w:rFonts w:ascii="Times New Roman" w:hAnsi="Times New Roman" w:cs="Times New Roman"/>
                            <w:sz w:val="20"/>
                            <w:szCs w:val="20"/>
                          </w:rPr>
                          <w:t>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ақпаратты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алу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кезіндегі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қиындықтар</w:t>
                        </w:r>
                        <w:proofErr w:type="spellEnd"/>
                      </w:p>
                      <w:p w:rsidR="00D15022" w:rsidRPr="006A5A4C" w:rsidRDefault="00D15022" w:rsidP="00D15022">
                        <w:pPr>
                          <w:rPr>
                            <w:rFonts w:ascii="Times New Roman" w:hAnsi="Times New Roman" w:cs="Times New Roman"/>
                            <w:sz w:val="20"/>
                            <w:szCs w:val="20"/>
                            <w:lang w:val="kk-KZ"/>
                          </w:rPr>
                        </w:pPr>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Әді</w:t>
                        </w:r>
                        <w:proofErr w:type="gramStart"/>
                        <w:r w:rsidRPr="006A5A4C">
                          <w:rPr>
                            <w:rFonts w:ascii="Times New Roman" w:hAnsi="Times New Roman" w:cs="Times New Roman"/>
                            <w:sz w:val="20"/>
                            <w:szCs w:val="20"/>
                          </w:rPr>
                          <w:t>ст</w:t>
                        </w:r>
                        <w:proofErr w:type="gramEnd"/>
                        <w:r w:rsidRPr="006A5A4C">
                          <w:rPr>
                            <w:rFonts w:ascii="Times New Roman" w:hAnsi="Times New Roman" w:cs="Times New Roman"/>
                            <w:sz w:val="20"/>
                            <w:szCs w:val="20"/>
                          </w:rPr>
                          <w:t>ің</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алыпсатарлығы</w:t>
                        </w:r>
                        <w:proofErr w:type="spellEnd"/>
                      </w:p>
                      <w:p w:rsidR="00D15022" w:rsidRPr="006A5A4C" w:rsidRDefault="00D15022" w:rsidP="00D15022">
                        <w:pPr>
                          <w:rPr>
                            <w:rFonts w:ascii="Times New Roman" w:hAnsi="Times New Roman" w:cs="Times New Roman"/>
                            <w:lang w:val="kk-KZ"/>
                          </w:rPr>
                        </w:pPr>
                        <w:r w:rsidRPr="006A5A4C">
                          <w:rPr>
                            <w:rFonts w:ascii="Times New Roman" w:hAnsi="Times New Roman" w:cs="Times New Roman"/>
                            <w:lang w:val="kk-KZ"/>
                          </w:rPr>
                          <w:t xml:space="preserve">- </w:t>
                        </w:r>
                        <w:r w:rsidRPr="006A5A4C">
                          <w:rPr>
                            <w:rFonts w:ascii="Times New Roman" w:hAnsi="Times New Roman" w:cs="Times New Roman"/>
                            <w:sz w:val="20"/>
                            <w:szCs w:val="20"/>
                            <w:lang w:val="kk-KZ"/>
                          </w:rPr>
                          <w:t>залалды объектілерді бағалау үшін қолдануға болмайды</w:t>
                        </w:r>
                      </w:p>
                    </w:txbxContent>
                  </v:textbox>
                </v:rect>
                <v:rect id="Rectangle 8" o:spid="_x0000_s1032" style="position:absolute;left:8433;top:3365;width:1819;height:29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т</w:t>
                        </w:r>
                        <w:proofErr w:type="spellStart"/>
                        <w:r w:rsidRPr="006A5A4C">
                          <w:rPr>
                            <w:rFonts w:ascii="Times New Roman" w:hAnsi="Times New Roman" w:cs="Times New Roman"/>
                          </w:rPr>
                          <w:t>абыс</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әкелетін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кез</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келген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объектілерді</w:t>
                        </w:r>
                        <w:proofErr w:type="spellEnd"/>
                        <w:r w:rsidRPr="006A5A4C">
                          <w:rPr>
                            <w:rFonts w:ascii="Times New Roman" w:hAnsi="Times New Roman" w:cs="Times New Roman"/>
                          </w:rPr>
                          <w:t xml:space="preserve"> </w:t>
                        </w:r>
                        <w:proofErr w:type="spellStart"/>
                        <w:proofErr w:type="gramStart"/>
                        <w:r w:rsidRPr="006A5A4C">
                          <w:rPr>
                            <w:rFonts w:ascii="Times New Roman" w:hAnsi="Times New Roman" w:cs="Times New Roman"/>
                          </w:rPr>
                          <w:t>ба</w:t>
                        </w:r>
                        <w:proofErr w:type="gramEnd"/>
                        <w:r w:rsidRPr="006A5A4C">
                          <w:rPr>
                            <w:rFonts w:ascii="Times New Roman" w:hAnsi="Times New Roman" w:cs="Times New Roman"/>
                          </w:rPr>
                          <w:t>ғалау</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үшін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қолданылуы</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мүмкін</w:t>
                        </w:r>
                        <w:proofErr w:type="spellEnd"/>
                      </w:p>
                    </w:txbxContent>
                  </v:textbox>
                </v:rect>
                <v:group id="Group 9" o:spid="_x0000_s1033" style="position:absolute;left:4985;top:2342;width:178;height:200" coordorigin="4540,10905" coordsize="187,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line id="Line 10" o:spid="_x0000_s1034" style="position:absolute;visibility:visible;mso-wrap-style:square" from="4540,11009" to="4727,11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 o:spid="_x0000_s1035" style="position:absolute;visibility:visible;mso-wrap-style:square" from="4621,10905" to="4621,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group>
                <v:line id="Line 12" o:spid="_x0000_s1036" style="position:absolute;visibility:visible;mso-wrap-style:square" from="7706,2447" to="8596,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13" o:spid="_x0000_s1037" style="position:absolute;visibility:visible;mso-wrap-style:square" from="3571,2741" to="3571,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8" style="position:absolute;visibility:visible;mso-wrap-style:square" from="6638,2741" to="6638,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line id="Line 15" o:spid="_x0000_s1039" style="position:absolute;visibility:visible;mso-wrap-style:square" from="9470,2741" to="9470,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group>
            </w:pict>
          </mc:Fallback>
        </mc:AlternateContent>
      </w:r>
    </w:p>
    <w:p w:rsidR="00D15022" w:rsidRPr="006A5A4C" w:rsidRDefault="00D15022" w:rsidP="00D15022">
      <w:pPr>
        <w:spacing w:line="360" w:lineRule="auto"/>
        <w:ind w:firstLine="561"/>
        <w:jc w:val="both"/>
        <w:rPr>
          <w:lang w:val="kk-KZ"/>
        </w:rPr>
      </w:pPr>
    </w:p>
    <w:p w:rsidR="00D15022" w:rsidRPr="006A5A4C" w:rsidRDefault="00D15022" w:rsidP="00D15022">
      <w:pPr>
        <w:spacing w:line="360" w:lineRule="auto"/>
        <w:ind w:firstLine="561"/>
        <w:jc w:val="both"/>
        <w:rPr>
          <w:lang w:val="kk-KZ"/>
        </w:rPr>
      </w:pPr>
    </w:p>
    <w:p w:rsidR="00D15022" w:rsidRPr="006A5A4C" w:rsidRDefault="00D15022" w:rsidP="00D15022">
      <w:pPr>
        <w:tabs>
          <w:tab w:val="left" w:pos="5743"/>
        </w:tabs>
        <w:spacing w:line="360" w:lineRule="auto"/>
        <w:ind w:firstLine="561"/>
        <w:jc w:val="both"/>
        <w:rPr>
          <w:lang w:val="kk-KZ"/>
        </w:rPr>
      </w:pPr>
      <w:r w:rsidRPr="006A5A4C">
        <w:rPr>
          <w:lang w:val="kk-KZ"/>
        </w:rPr>
        <w:tab/>
      </w:r>
    </w:p>
    <w:p w:rsidR="00D15022" w:rsidRPr="006A5A4C" w:rsidRDefault="00D15022" w:rsidP="00D15022">
      <w:pPr>
        <w:spacing w:line="360" w:lineRule="auto"/>
        <w:ind w:firstLine="561"/>
        <w:jc w:val="both"/>
        <w:rPr>
          <w:lang w:val="kk-KZ"/>
        </w:rPr>
      </w:pPr>
    </w:p>
    <w:p w:rsidR="00D15022" w:rsidRPr="006A5A4C" w:rsidRDefault="00D15022" w:rsidP="00D15022">
      <w:pPr>
        <w:spacing w:line="360" w:lineRule="auto"/>
        <w:ind w:firstLine="561"/>
        <w:jc w:val="both"/>
        <w:rPr>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7E4B5A">
      <w:pPr>
        <w:spacing w:after="0" w:line="240" w:lineRule="auto"/>
        <w:ind w:firstLine="708"/>
        <w:jc w:val="center"/>
        <w:rPr>
          <w:rFonts w:ascii="Times New Roman" w:hAnsi="Times New Roman" w:cs="Times New Roman"/>
          <w:sz w:val="28"/>
          <w:szCs w:val="28"/>
          <w:lang w:val="kk-KZ"/>
        </w:rPr>
      </w:pPr>
      <w:r w:rsidRPr="00D15022">
        <w:rPr>
          <w:rFonts w:ascii="Times New Roman" w:hAnsi="Times New Roman" w:cs="Times New Roman"/>
          <w:sz w:val="28"/>
          <w:szCs w:val="28"/>
          <w:lang w:val="kk-KZ"/>
        </w:rPr>
        <w:t xml:space="preserve">Сурет </w:t>
      </w:r>
      <w:r w:rsidR="006A5A4C">
        <w:rPr>
          <w:rFonts w:ascii="Times New Roman" w:hAnsi="Times New Roman" w:cs="Times New Roman"/>
          <w:sz w:val="28"/>
          <w:szCs w:val="28"/>
          <w:lang w:val="kk-KZ"/>
        </w:rPr>
        <w:t>1</w:t>
      </w:r>
      <w:r w:rsidRPr="00D15022">
        <w:rPr>
          <w:rFonts w:ascii="Times New Roman" w:hAnsi="Times New Roman" w:cs="Times New Roman"/>
          <w:sz w:val="28"/>
          <w:szCs w:val="28"/>
          <w:lang w:val="kk-KZ"/>
        </w:rPr>
        <w:t>- т</w:t>
      </w:r>
      <w:r w:rsidR="007E4B5A">
        <w:rPr>
          <w:rFonts w:ascii="Times New Roman" w:hAnsi="Times New Roman" w:cs="Times New Roman"/>
          <w:sz w:val="28"/>
          <w:szCs w:val="28"/>
          <w:lang w:val="kk-KZ"/>
        </w:rPr>
        <w:t>абыстық</w:t>
      </w:r>
      <w:r w:rsidRPr="00D15022">
        <w:rPr>
          <w:rFonts w:ascii="Times New Roman" w:hAnsi="Times New Roman" w:cs="Times New Roman"/>
          <w:sz w:val="28"/>
          <w:szCs w:val="28"/>
          <w:lang w:val="kk-KZ"/>
        </w:rPr>
        <w:t xml:space="preserve"> тәсілдің артықшылықтары мен кемшіліктері</w:t>
      </w: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Дисконтталған ақша ағындарының әдісін, егер:</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болашақ ақша ағындары ағымдағы ағындардан айтарлықтай ерекшеленеді;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болжамды ақша ағындары (объектінің кірістері) оң мәндер болып табылады;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Әдістің артықшылықтары: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кәсіпорынның құнын бағалау болашақ күтілетін кірістерге негізделген;</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нарықтағы жағдайды дисконт мөлшерлемесі арқылы ескереді;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инвестиция тәуекелін ескеруге мүмкіндік береді.</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Бұл әдіс болашақ ақша ағындарының ағымдағы құнын табуға негізделген.</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 xml:space="preserve">Тікелей капиталдандыру әдісі, егер кәсіпорынның болашақ кірістері тұрақты және болжамды өсу қарқынымен сипатталса және кірістер айтарлықтай оң мәндер болса қолданылады, яғни бизнес тұрақты дамиды. Бұл әдістің мәні жыл сайынғы кірістердің мөлшерін және осы кірістерге </w:t>
      </w:r>
      <w:r w:rsidRPr="00D15022">
        <w:rPr>
          <w:rFonts w:ascii="Times New Roman" w:hAnsi="Times New Roman" w:cs="Times New Roman"/>
          <w:sz w:val="28"/>
          <w:szCs w:val="28"/>
          <w:lang w:val="kk-KZ"/>
        </w:rPr>
        <w:lastRenderedPageBreak/>
        <w:t>сәйкес келетін капиталдандыру мөлшерлемесін анықтау болып табылады, соның негізінде кәсіпорынның меншікті капиталының нарықтық құны - жылдық кірістердің капиталдандыру мөлшерлемесіне қатынасы ретінде есептеледі. Бұл әдістің мәні арақатынаспен көрінеді, кәсіпорынның меншікті капиталының құны = капиталдандыру коэффициентіне бөлінген таза пайда.</w:t>
      </w:r>
    </w:p>
    <w:sectPr w:rsidR="00D15022" w:rsidRPr="00D150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022"/>
    <w:rsid w:val="00391176"/>
    <w:rsid w:val="00420E7A"/>
    <w:rsid w:val="006A5A4C"/>
    <w:rsid w:val="007E4B5A"/>
    <w:rsid w:val="00D15022"/>
    <w:rsid w:val="00E637AD"/>
    <w:rsid w:val="00FD72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575</Words>
  <Characters>3283</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7</cp:revision>
  <dcterms:created xsi:type="dcterms:W3CDTF">2021-11-11T06:47:00Z</dcterms:created>
  <dcterms:modified xsi:type="dcterms:W3CDTF">2021-12-02T05:40:00Z</dcterms:modified>
</cp:coreProperties>
</file>